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1503" w14:textId="77777777" w:rsidR="007A04E1" w:rsidRPr="00AC327C" w:rsidRDefault="007A04E1" w:rsidP="007A04E1">
      <w:pPr>
        <w:pStyle w:val="Heading2"/>
        <w:rPr>
          <w:rFonts w:ascii="Times New Roman" w:hAnsi="Times New Roman" w:cs="Times New Roman"/>
          <w:b/>
          <w:bCs/>
          <w:i/>
          <w:iCs/>
        </w:rPr>
      </w:pPr>
      <w:bookmarkStart w:id="0" w:name="_Toc166442845"/>
      <w:r w:rsidRPr="00AC327C">
        <w:rPr>
          <w:rFonts w:ascii="Times New Roman" w:hAnsi="Times New Roman" w:cs="Times New Roman"/>
          <w:b/>
          <w:bCs/>
          <w:color w:val="auto"/>
          <w:sz w:val="24"/>
          <w:szCs w:val="24"/>
        </w:rPr>
        <w:t xml:space="preserve">117. </w:t>
      </w:r>
      <w:r w:rsidRPr="00AC327C">
        <w:rPr>
          <w:rFonts w:ascii="Times New Roman" w:hAnsi="Times New Roman" w:cs="Times New Roman"/>
          <w:b/>
          <w:bCs/>
          <w:color w:val="auto"/>
          <w:sz w:val="24"/>
          <w:szCs w:val="24"/>
          <w:lang w:val="vi-VN"/>
        </w:rPr>
        <w:t>TRAO ĐỔI CATION TRONG ĐẤT</w:t>
      </w:r>
      <w:bookmarkEnd w:id="0"/>
      <w:r w:rsidRPr="00AC327C">
        <w:rPr>
          <w:rFonts w:ascii="Times New Roman" w:hAnsi="Times New Roman" w:cs="Times New Roman"/>
          <w:b/>
          <w:bCs/>
          <w:color w:val="auto"/>
        </w:rPr>
        <w:t xml:space="preserve"> </w:t>
      </w:r>
    </w:p>
    <w:p w14:paraId="127AF919" w14:textId="77777777" w:rsidR="007A04E1" w:rsidRPr="00AC327C" w:rsidRDefault="007A04E1" w:rsidP="007A04E1">
      <w:pPr>
        <w:jc w:val="both"/>
        <w:rPr>
          <w:sz w:val="28"/>
          <w:szCs w:val="28"/>
          <w:lang w:val="vi-VN"/>
        </w:rPr>
      </w:pPr>
      <w:r w:rsidRPr="00AC327C">
        <w:rPr>
          <w:sz w:val="28"/>
          <w:szCs w:val="28"/>
        </w:rPr>
        <w:t xml:space="preserve">quá trình hấp thu hóa - lý trong hệ keo đất dưới tác động của lực tĩnh điện và phân tử, ở đó, một phần các cation từ dung dịch đất bị keo hấp thu và một số cation bị tách ra khỏi hệ keo đất trở về dung dịch đất, nhờ đó, cây trồng có thể sử dụng làm dinh dưỡng. </w:t>
      </w:r>
      <w:r w:rsidRPr="00AC327C">
        <w:rPr>
          <w:sz w:val="28"/>
          <w:szCs w:val="28"/>
          <w:lang w:val="vi-VN"/>
        </w:rPr>
        <w:t>T</w:t>
      </w:r>
      <w:r w:rsidRPr="00AC327C">
        <w:rPr>
          <w:sz w:val="28"/>
          <w:szCs w:val="28"/>
        </w:rPr>
        <w:t>Đ</w:t>
      </w:r>
      <w:r w:rsidRPr="00AC327C">
        <w:rPr>
          <w:sz w:val="28"/>
          <w:szCs w:val="28"/>
          <w:lang w:val="vi-VN"/>
        </w:rPr>
        <w:t>C</w:t>
      </w:r>
      <w:r w:rsidRPr="00AC327C">
        <w:rPr>
          <w:sz w:val="28"/>
          <w:szCs w:val="28"/>
        </w:rPr>
        <w:t>TĐ</w:t>
      </w:r>
      <w:r w:rsidRPr="00AC327C">
        <w:rPr>
          <w:sz w:val="28"/>
          <w:szCs w:val="28"/>
          <w:lang w:val="vi-VN"/>
        </w:rPr>
        <w:t xml:space="preserve"> </w:t>
      </w:r>
      <w:r w:rsidRPr="00AC327C">
        <w:rPr>
          <w:sz w:val="28"/>
          <w:szCs w:val="28"/>
        </w:rPr>
        <w:t>phụ thuộc vào nhiều yếu tố như </w:t>
      </w:r>
      <w:hyperlink r:id="rId4" w:history="1">
        <w:r w:rsidRPr="00AC327C">
          <w:rPr>
            <w:sz w:val="28"/>
            <w:szCs w:val="28"/>
          </w:rPr>
          <w:t>nồng</w:t>
        </w:r>
        <w:r>
          <w:rPr>
            <w:sz w:val="28"/>
            <w:szCs w:val="28"/>
          </w:rPr>
          <w:t xml:space="preserve"> </w:t>
        </w:r>
        <w:r w:rsidRPr="00AC327C">
          <w:rPr>
            <w:sz w:val="28"/>
            <w:szCs w:val="28"/>
          </w:rPr>
          <w:t>độ</w:t>
        </w:r>
      </w:hyperlink>
      <w:r w:rsidRPr="00AC327C">
        <w:rPr>
          <w:sz w:val="28"/>
          <w:szCs w:val="28"/>
        </w:rPr>
        <w:t> dung dịch và lượng các cation, điện tích, </w:t>
      </w:r>
      <w:hyperlink r:id="rId5" w:history="1">
        <w:r w:rsidRPr="00AC327C">
          <w:rPr>
            <w:sz w:val="28"/>
            <w:szCs w:val="28"/>
          </w:rPr>
          <w:t>bán kính</w:t>
        </w:r>
      </w:hyperlink>
      <w:r w:rsidRPr="00AC327C">
        <w:rPr>
          <w:sz w:val="28"/>
          <w:szCs w:val="28"/>
        </w:rPr>
        <w:t> và tính chất </w:t>
      </w:r>
      <w:hyperlink r:id="rId6" w:history="1">
        <w:r w:rsidRPr="00AC327C">
          <w:rPr>
            <w:sz w:val="28"/>
            <w:szCs w:val="28"/>
          </w:rPr>
          <w:t>phân cực</w:t>
        </w:r>
      </w:hyperlink>
      <w:r w:rsidRPr="00AC327C">
        <w:rPr>
          <w:sz w:val="28"/>
          <w:szCs w:val="28"/>
        </w:rPr>
        <w:t> của các ion, thành phần </w:t>
      </w:r>
      <w:hyperlink r:id="rId7" w:history="1">
        <w:r w:rsidRPr="00AC327C">
          <w:rPr>
            <w:sz w:val="28"/>
            <w:szCs w:val="28"/>
          </w:rPr>
          <w:t>khoáng vật</w:t>
        </w:r>
      </w:hyperlink>
      <w:r w:rsidRPr="00AC327C">
        <w:rPr>
          <w:sz w:val="28"/>
          <w:szCs w:val="28"/>
        </w:rPr>
        <w:t> của đất</w:t>
      </w:r>
      <w:r w:rsidRPr="00AC327C">
        <w:rPr>
          <w:sz w:val="28"/>
          <w:szCs w:val="28"/>
          <w:lang w:val="vi-VN"/>
        </w:rPr>
        <w:t>. T</w:t>
      </w:r>
      <w:r w:rsidRPr="00B21A3A">
        <w:rPr>
          <w:sz w:val="28"/>
          <w:szCs w:val="28"/>
          <w:lang w:val="vi-VN"/>
        </w:rPr>
        <w:t>Đ</w:t>
      </w:r>
      <w:r w:rsidRPr="00AC327C">
        <w:rPr>
          <w:sz w:val="28"/>
          <w:szCs w:val="28"/>
          <w:lang w:val="vi-VN"/>
        </w:rPr>
        <w:t>CTĐ được quyết định bởi dung tích trao đổi cation của đất, tính bằng li đương lượng (ldl) gam cho 100 gam đất khô không khí, k</w:t>
      </w:r>
      <w:r w:rsidRPr="00B21A3A">
        <w:rPr>
          <w:sz w:val="28"/>
          <w:szCs w:val="28"/>
          <w:lang w:val="vi-VN"/>
        </w:rPr>
        <w:t>ý</w:t>
      </w:r>
      <w:r w:rsidRPr="00AC327C">
        <w:rPr>
          <w:sz w:val="28"/>
          <w:szCs w:val="28"/>
          <w:lang w:val="vi-VN"/>
        </w:rPr>
        <w:t xml:space="preserve"> hiệu bằng chữ CEC (cation exchange capacity).</w:t>
      </w:r>
    </w:p>
    <w:p w14:paraId="12B2E1DE" w14:textId="77777777" w:rsidR="007A04E1" w:rsidRPr="00AC327C" w:rsidRDefault="007A04E1" w:rsidP="007A04E1">
      <w:pPr>
        <w:ind w:firstLine="720"/>
        <w:jc w:val="both"/>
        <w:rPr>
          <w:sz w:val="28"/>
          <w:szCs w:val="28"/>
          <w:lang w:val="vi-VN"/>
        </w:rPr>
      </w:pPr>
      <w:r w:rsidRPr="00AC327C">
        <w:rPr>
          <w:sz w:val="28"/>
          <w:szCs w:val="28"/>
          <w:lang w:val="vi-VN"/>
        </w:rPr>
        <w:t>Một phần nhỏ cation trên bề mặt keo không trao đổi được, nghĩa là không bị cation trong dung dịch đẩy ra ngoài. Nguyên nhân là do keo đất quá già và phần nào đã kết tinh, do tạo lưới tinh thể, do cation đi vào khe hở giữa các lớp tinh thể khoáng vật như montmorilonit và bị bao bọc xung quanh bởi các hạt keo khác nhau như Fe(OH)</w:t>
      </w:r>
      <w:r w:rsidRPr="00AC327C">
        <w:rPr>
          <w:sz w:val="28"/>
          <w:szCs w:val="28"/>
          <w:vertAlign w:val="subscript"/>
          <w:lang w:val="vi-VN"/>
        </w:rPr>
        <w:t>3</w:t>
      </w:r>
      <w:r w:rsidRPr="00AC327C">
        <w:rPr>
          <w:sz w:val="28"/>
          <w:szCs w:val="28"/>
          <w:lang w:val="vi-VN"/>
        </w:rPr>
        <w:t>, Al(OH)</w:t>
      </w:r>
      <w:r w:rsidRPr="00AC327C">
        <w:rPr>
          <w:sz w:val="28"/>
          <w:szCs w:val="28"/>
          <w:vertAlign w:val="subscript"/>
          <w:lang w:val="vi-VN"/>
        </w:rPr>
        <w:t>3</w:t>
      </w:r>
      <w:r w:rsidRPr="00AC327C">
        <w:rPr>
          <w:sz w:val="28"/>
          <w:szCs w:val="28"/>
          <w:lang w:val="vi-VN"/>
        </w:rPr>
        <w:t xml:space="preserve"> hoặc các chất hữu cơ nên cation đó mất khả năng trao đổi. Nguyên nhân rõ nhất và phổ biến nhất là các cation đã liên kết hóa học để tạo thành các hợp chất không tan</w:t>
      </w:r>
      <w:r>
        <w:rPr>
          <w:sz w:val="28"/>
          <w:szCs w:val="28"/>
          <w:lang w:val="vi-VN"/>
        </w:rPr>
        <w:t>,</w:t>
      </w:r>
      <w:r w:rsidRPr="00AC327C">
        <w:rPr>
          <w:sz w:val="28"/>
          <w:szCs w:val="28"/>
          <w:lang w:val="vi-VN"/>
        </w:rPr>
        <w:t xml:space="preserve"> vi sinh vật hấp thu.</w:t>
      </w:r>
    </w:p>
    <w:p w14:paraId="738FB472" w14:textId="77777777" w:rsidR="007A04E1" w:rsidRPr="00AC327C" w:rsidRDefault="007A04E1" w:rsidP="007A04E1">
      <w:pPr>
        <w:ind w:firstLine="720"/>
        <w:jc w:val="both"/>
        <w:rPr>
          <w:sz w:val="28"/>
          <w:szCs w:val="28"/>
          <w:lang w:val="vi-VN"/>
        </w:rPr>
      </w:pPr>
      <w:r w:rsidRPr="00AC327C">
        <w:rPr>
          <w:sz w:val="28"/>
          <w:szCs w:val="28"/>
          <w:lang w:val="vi-VN"/>
        </w:rPr>
        <w:t>Sự hấp phụ cation tuân theo những quy luật nhất định: 1) sự hấp ph</w:t>
      </w:r>
      <w:r w:rsidRPr="00B21A3A">
        <w:rPr>
          <w:sz w:val="28"/>
          <w:szCs w:val="28"/>
          <w:lang w:val="vi-VN"/>
        </w:rPr>
        <w:t>ụ</w:t>
      </w:r>
      <w:r w:rsidRPr="00AC327C">
        <w:rPr>
          <w:sz w:val="28"/>
          <w:szCs w:val="28"/>
          <w:lang w:val="vi-VN"/>
        </w:rPr>
        <w:t xml:space="preserve"> cation tuân theo quan hệ đương lượng</w:t>
      </w:r>
      <w:r>
        <w:rPr>
          <w:sz w:val="28"/>
          <w:szCs w:val="28"/>
          <w:lang w:val="vi-VN"/>
        </w:rPr>
        <w:t xml:space="preserve"> (một</w:t>
      </w:r>
      <w:r w:rsidRPr="00AC327C">
        <w:rPr>
          <w:sz w:val="28"/>
          <w:szCs w:val="28"/>
          <w:lang w:val="vi-VN"/>
        </w:rPr>
        <w:t xml:space="preserve"> đương lượng gam cation này trao đổi với một đương lượng gam cation khác</w:t>
      </w:r>
      <w:r>
        <w:rPr>
          <w:sz w:val="28"/>
          <w:szCs w:val="28"/>
          <w:lang w:val="vi-VN"/>
        </w:rPr>
        <w:t>)</w:t>
      </w:r>
      <w:r w:rsidRPr="00AC327C">
        <w:rPr>
          <w:sz w:val="28"/>
          <w:szCs w:val="28"/>
          <w:lang w:val="vi-VN"/>
        </w:rPr>
        <w:t xml:space="preserve">; 2) trao đổi cation có thể xảy ra theo chiều thuận và nghịch, phụ thuộc nồng độ và đặc tính cation trong dung dịch đất; 3) trao đổi xảy ra rất nhanh, điểm này có ý nghĩa thực tiễn khi bón phân chứa cation và bón vôi khử chua cần cày bừa kỹ, sục bùn để trộn đều hoặc bón phân kết hợp với vun gốc cho cây </w:t>
      </w:r>
      <w:r w:rsidRPr="00937F4C">
        <w:rPr>
          <w:sz w:val="28"/>
          <w:szCs w:val="28"/>
          <w:lang w:val="vi-VN"/>
        </w:rPr>
        <w:t>đ</w:t>
      </w:r>
      <w:r w:rsidRPr="00AC327C">
        <w:rPr>
          <w:sz w:val="28"/>
          <w:szCs w:val="28"/>
          <w:lang w:val="vi-VN"/>
        </w:rPr>
        <w:t>ể thúc đẩy quá trình trao đổi cation trong đất; 4) trao đổi cation phụ thuộc hóa trị, độ lớn và mức độ thủy hóa của cation: hóa trị của cation càng cao, khả năng trao đổi càng mạnh, trao đổi của cation hóa trị III &gt; cation hóa trị II &gt; cation hóa trị I. Nếu cùng hóa trị thì cation nào có bán kính lớn (bán kính thủy hóa bé) thì trao đổi mạnh hơn. Trừ H</w:t>
      </w:r>
      <w:r w:rsidRPr="00AC327C">
        <w:rPr>
          <w:sz w:val="28"/>
          <w:szCs w:val="28"/>
          <w:vertAlign w:val="superscript"/>
          <w:lang w:val="vi-VN"/>
        </w:rPr>
        <w:t>+</w:t>
      </w:r>
      <w:r w:rsidRPr="00AC327C">
        <w:rPr>
          <w:sz w:val="28"/>
          <w:szCs w:val="28"/>
          <w:lang w:val="vi-VN"/>
        </w:rPr>
        <w:t xml:space="preserve"> do có màng thủy hóa rất mỏng nên khả năng trao đổi của H</w:t>
      </w:r>
      <w:r w:rsidRPr="00AC327C">
        <w:rPr>
          <w:sz w:val="28"/>
          <w:szCs w:val="28"/>
          <w:vertAlign w:val="superscript"/>
          <w:lang w:val="vi-VN"/>
        </w:rPr>
        <w:t>+</w:t>
      </w:r>
      <w:r w:rsidRPr="00AC327C">
        <w:rPr>
          <w:sz w:val="28"/>
          <w:szCs w:val="28"/>
          <w:lang w:val="vi-VN"/>
        </w:rPr>
        <w:t xml:space="preserve"> không những vượt các cation hóa trị I mà còn vượt cả cation hóa trị II.</w:t>
      </w:r>
    </w:p>
    <w:p w14:paraId="6B0A7F75" w14:textId="77777777" w:rsidR="007A04E1" w:rsidRPr="00AC327C" w:rsidRDefault="007A04E1" w:rsidP="007A04E1">
      <w:pPr>
        <w:ind w:firstLine="720"/>
        <w:jc w:val="center"/>
        <w:rPr>
          <w:sz w:val="28"/>
          <w:szCs w:val="28"/>
          <w:lang w:val="vi-VN"/>
        </w:rPr>
      </w:pPr>
      <w:r w:rsidRPr="00AC327C">
        <w:rPr>
          <w:b/>
          <w:sz w:val="28"/>
          <w:szCs w:val="28"/>
          <w:lang w:val="vi-VN"/>
        </w:rPr>
        <w:t>Bảng 1. Quan hệ giữa hóa trị, bán kính và bán kính thủy hóa của cation với khả năng trao đổi cation</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1068"/>
        <w:gridCol w:w="2096"/>
        <w:gridCol w:w="2379"/>
        <w:gridCol w:w="2016"/>
      </w:tblGrid>
      <w:tr w:rsidR="007A04E1" w:rsidRPr="00AC327C" w14:paraId="0918EF01" w14:textId="77777777" w:rsidTr="00D85544">
        <w:tc>
          <w:tcPr>
            <w:tcW w:w="1064" w:type="dxa"/>
          </w:tcPr>
          <w:p w14:paraId="0CC8AA10" w14:textId="77777777" w:rsidR="007A04E1" w:rsidRPr="00AC327C" w:rsidRDefault="007A04E1" w:rsidP="00D85544">
            <w:pPr>
              <w:jc w:val="center"/>
              <w:rPr>
                <w:b/>
                <w:bCs/>
                <w:sz w:val="28"/>
                <w:szCs w:val="28"/>
                <w:lang w:val="vi-VN"/>
              </w:rPr>
            </w:pPr>
            <w:r w:rsidRPr="00AC327C">
              <w:rPr>
                <w:b/>
                <w:bCs/>
                <w:sz w:val="28"/>
                <w:szCs w:val="28"/>
                <w:lang w:val="vi-VN"/>
              </w:rPr>
              <w:t>Cation</w:t>
            </w:r>
          </w:p>
        </w:tc>
        <w:tc>
          <w:tcPr>
            <w:tcW w:w="1068" w:type="dxa"/>
          </w:tcPr>
          <w:p w14:paraId="0930D359" w14:textId="77777777" w:rsidR="007A04E1" w:rsidRPr="00AC327C" w:rsidRDefault="007A04E1" w:rsidP="00D85544">
            <w:pPr>
              <w:jc w:val="center"/>
              <w:rPr>
                <w:b/>
                <w:bCs/>
                <w:sz w:val="28"/>
                <w:szCs w:val="28"/>
                <w:lang w:val="vi-VN"/>
              </w:rPr>
            </w:pPr>
            <w:r w:rsidRPr="00AC327C">
              <w:rPr>
                <w:b/>
                <w:bCs/>
                <w:sz w:val="28"/>
                <w:szCs w:val="28"/>
                <w:lang w:val="vi-VN"/>
              </w:rPr>
              <w:t>Hóa trị</w:t>
            </w:r>
          </w:p>
        </w:tc>
        <w:tc>
          <w:tcPr>
            <w:tcW w:w="2096" w:type="dxa"/>
          </w:tcPr>
          <w:p w14:paraId="3128C544" w14:textId="77777777" w:rsidR="007A04E1" w:rsidRPr="00AC327C" w:rsidRDefault="007A04E1" w:rsidP="00D85544">
            <w:pPr>
              <w:jc w:val="center"/>
              <w:rPr>
                <w:b/>
                <w:bCs/>
                <w:sz w:val="28"/>
                <w:szCs w:val="28"/>
                <w:lang w:val="vi-VN"/>
              </w:rPr>
            </w:pPr>
            <w:r w:rsidRPr="00AC327C">
              <w:rPr>
                <w:b/>
                <w:bCs/>
                <w:sz w:val="28"/>
                <w:szCs w:val="28"/>
                <w:lang w:val="vi-VN"/>
              </w:rPr>
              <w:t>Bán kính cation</w:t>
            </w:r>
          </w:p>
        </w:tc>
        <w:tc>
          <w:tcPr>
            <w:tcW w:w="2379" w:type="dxa"/>
          </w:tcPr>
          <w:p w14:paraId="04248392" w14:textId="77777777" w:rsidR="007A04E1" w:rsidRPr="00AC327C" w:rsidRDefault="007A04E1" w:rsidP="00D85544">
            <w:pPr>
              <w:jc w:val="center"/>
              <w:rPr>
                <w:b/>
                <w:bCs/>
                <w:sz w:val="28"/>
                <w:szCs w:val="28"/>
                <w:lang w:val="vi-VN"/>
              </w:rPr>
            </w:pPr>
            <w:r w:rsidRPr="00AC327C">
              <w:rPr>
                <w:b/>
                <w:bCs/>
                <w:sz w:val="28"/>
                <w:szCs w:val="28"/>
                <w:lang w:val="vi-VN"/>
              </w:rPr>
              <w:t>Bán kính thủy phân</w:t>
            </w:r>
          </w:p>
        </w:tc>
        <w:tc>
          <w:tcPr>
            <w:tcW w:w="2016" w:type="dxa"/>
          </w:tcPr>
          <w:p w14:paraId="07D81E8E" w14:textId="77777777" w:rsidR="007A04E1" w:rsidRPr="00AC327C" w:rsidRDefault="007A04E1" w:rsidP="00D85544">
            <w:pPr>
              <w:jc w:val="center"/>
              <w:rPr>
                <w:b/>
                <w:bCs/>
                <w:sz w:val="28"/>
                <w:szCs w:val="28"/>
                <w:lang w:val="vi-VN"/>
              </w:rPr>
            </w:pPr>
            <w:r w:rsidRPr="00AC327C">
              <w:rPr>
                <w:b/>
                <w:bCs/>
                <w:sz w:val="28"/>
                <w:szCs w:val="28"/>
                <w:lang w:val="vi-VN"/>
              </w:rPr>
              <w:t>Thứ tự trao đổi</w:t>
            </w:r>
          </w:p>
        </w:tc>
      </w:tr>
      <w:tr w:rsidR="007A04E1" w:rsidRPr="00AC327C" w14:paraId="60819F89" w14:textId="77777777" w:rsidTr="00D85544">
        <w:tc>
          <w:tcPr>
            <w:tcW w:w="1064" w:type="dxa"/>
          </w:tcPr>
          <w:p w14:paraId="1C959C6F" w14:textId="77777777" w:rsidR="007A04E1" w:rsidRPr="00AC327C" w:rsidRDefault="007A04E1" w:rsidP="00D85544">
            <w:pPr>
              <w:jc w:val="both"/>
              <w:rPr>
                <w:sz w:val="28"/>
                <w:szCs w:val="28"/>
                <w:lang w:val="vi-VN"/>
              </w:rPr>
            </w:pPr>
          </w:p>
        </w:tc>
        <w:tc>
          <w:tcPr>
            <w:tcW w:w="1068" w:type="dxa"/>
          </w:tcPr>
          <w:p w14:paraId="329F021A" w14:textId="77777777" w:rsidR="007A04E1" w:rsidRPr="00AC327C" w:rsidRDefault="007A04E1" w:rsidP="00D85544">
            <w:pPr>
              <w:jc w:val="both"/>
              <w:rPr>
                <w:sz w:val="28"/>
                <w:szCs w:val="28"/>
                <w:lang w:val="vi-VN"/>
              </w:rPr>
            </w:pPr>
          </w:p>
        </w:tc>
        <w:tc>
          <w:tcPr>
            <w:tcW w:w="2096" w:type="dxa"/>
          </w:tcPr>
          <w:p w14:paraId="192066A1" w14:textId="77777777" w:rsidR="007A04E1" w:rsidRPr="00AC327C" w:rsidRDefault="007A04E1" w:rsidP="00D85544">
            <w:pPr>
              <w:jc w:val="center"/>
              <w:rPr>
                <w:sz w:val="28"/>
                <w:szCs w:val="28"/>
                <w:lang w:val="vi-VN"/>
              </w:rPr>
            </w:pPr>
            <w:r w:rsidRPr="00AC327C">
              <w:rPr>
                <w:sz w:val="28"/>
                <w:szCs w:val="28"/>
                <w:lang w:val="vi-VN"/>
              </w:rPr>
              <w:t>(Å)</w:t>
            </w:r>
          </w:p>
        </w:tc>
        <w:tc>
          <w:tcPr>
            <w:tcW w:w="2379" w:type="dxa"/>
          </w:tcPr>
          <w:p w14:paraId="0B0DF766" w14:textId="77777777" w:rsidR="007A04E1" w:rsidRPr="00AC327C" w:rsidRDefault="007A04E1" w:rsidP="00D85544">
            <w:pPr>
              <w:jc w:val="center"/>
              <w:rPr>
                <w:sz w:val="28"/>
                <w:szCs w:val="28"/>
                <w:lang w:val="vi-VN"/>
              </w:rPr>
            </w:pPr>
            <w:r w:rsidRPr="00AC327C">
              <w:rPr>
                <w:sz w:val="28"/>
                <w:szCs w:val="28"/>
                <w:lang w:val="vi-VN"/>
              </w:rPr>
              <w:t>(Å)</w:t>
            </w:r>
          </w:p>
        </w:tc>
        <w:tc>
          <w:tcPr>
            <w:tcW w:w="2016" w:type="dxa"/>
          </w:tcPr>
          <w:p w14:paraId="31D8AD6B" w14:textId="77777777" w:rsidR="007A04E1" w:rsidRPr="00AC327C" w:rsidRDefault="007A04E1" w:rsidP="00D85544">
            <w:pPr>
              <w:jc w:val="both"/>
              <w:rPr>
                <w:sz w:val="28"/>
                <w:szCs w:val="28"/>
                <w:lang w:val="vi-VN"/>
              </w:rPr>
            </w:pPr>
          </w:p>
        </w:tc>
      </w:tr>
      <w:tr w:rsidR="007A04E1" w:rsidRPr="00AC327C" w14:paraId="4818E2D0" w14:textId="77777777" w:rsidTr="00D85544">
        <w:tc>
          <w:tcPr>
            <w:tcW w:w="1064" w:type="dxa"/>
          </w:tcPr>
          <w:p w14:paraId="67D2376A" w14:textId="77777777" w:rsidR="007A04E1" w:rsidRPr="00AC327C" w:rsidRDefault="007A04E1" w:rsidP="00D85544">
            <w:pPr>
              <w:jc w:val="both"/>
              <w:rPr>
                <w:sz w:val="28"/>
                <w:szCs w:val="28"/>
                <w:lang w:val="vi-VN"/>
              </w:rPr>
            </w:pPr>
            <w:r w:rsidRPr="00AC327C">
              <w:rPr>
                <w:sz w:val="28"/>
                <w:szCs w:val="28"/>
                <w:lang w:val="vi-VN"/>
              </w:rPr>
              <w:t>Li</w:t>
            </w:r>
            <w:r w:rsidRPr="00AC327C">
              <w:rPr>
                <w:sz w:val="28"/>
                <w:szCs w:val="28"/>
                <w:vertAlign w:val="superscript"/>
                <w:lang w:val="vi-VN"/>
              </w:rPr>
              <w:t>+</w:t>
            </w:r>
          </w:p>
        </w:tc>
        <w:tc>
          <w:tcPr>
            <w:tcW w:w="1068" w:type="dxa"/>
          </w:tcPr>
          <w:p w14:paraId="06A4C5E3" w14:textId="77777777" w:rsidR="007A04E1" w:rsidRPr="00AC327C" w:rsidRDefault="007A04E1" w:rsidP="00D85544">
            <w:pPr>
              <w:jc w:val="center"/>
              <w:rPr>
                <w:sz w:val="28"/>
                <w:szCs w:val="28"/>
                <w:lang w:val="vi-VN"/>
              </w:rPr>
            </w:pPr>
            <w:r w:rsidRPr="00AC327C">
              <w:rPr>
                <w:sz w:val="28"/>
                <w:szCs w:val="28"/>
                <w:lang w:val="vi-VN"/>
              </w:rPr>
              <w:t>1</w:t>
            </w:r>
          </w:p>
        </w:tc>
        <w:tc>
          <w:tcPr>
            <w:tcW w:w="2096" w:type="dxa"/>
          </w:tcPr>
          <w:p w14:paraId="7A4849E9" w14:textId="77777777" w:rsidR="007A04E1" w:rsidRPr="00AC327C" w:rsidRDefault="007A04E1" w:rsidP="00D85544">
            <w:pPr>
              <w:jc w:val="center"/>
              <w:rPr>
                <w:sz w:val="28"/>
                <w:szCs w:val="28"/>
                <w:lang w:val="vi-VN"/>
              </w:rPr>
            </w:pPr>
            <w:r w:rsidRPr="00AC327C">
              <w:rPr>
                <w:sz w:val="28"/>
                <w:szCs w:val="28"/>
                <w:lang w:val="vi-VN"/>
              </w:rPr>
              <w:t>0,78</w:t>
            </w:r>
          </w:p>
        </w:tc>
        <w:tc>
          <w:tcPr>
            <w:tcW w:w="2379" w:type="dxa"/>
          </w:tcPr>
          <w:p w14:paraId="4248758B" w14:textId="77777777" w:rsidR="007A04E1" w:rsidRPr="00AC327C" w:rsidRDefault="007A04E1" w:rsidP="00D85544">
            <w:pPr>
              <w:jc w:val="center"/>
              <w:rPr>
                <w:sz w:val="28"/>
                <w:szCs w:val="28"/>
                <w:lang w:val="vi-VN"/>
              </w:rPr>
            </w:pPr>
            <w:r w:rsidRPr="00AC327C">
              <w:rPr>
                <w:sz w:val="28"/>
                <w:szCs w:val="28"/>
                <w:lang w:val="vi-VN"/>
              </w:rPr>
              <w:t>10,03</w:t>
            </w:r>
          </w:p>
        </w:tc>
        <w:tc>
          <w:tcPr>
            <w:tcW w:w="2016" w:type="dxa"/>
          </w:tcPr>
          <w:p w14:paraId="70D21FBF" w14:textId="77777777" w:rsidR="007A04E1" w:rsidRPr="00AC327C" w:rsidRDefault="007A04E1" w:rsidP="00D85544">
            <w:pPr>
              <w:jc w:val="center"/>
              <w:rPr>
                <w:sz w:val="28"/>
                <w:szCs w:val="28"/>
                <w:lang w:val="vi-VN"/>
              </w:rPr>
            </w:pPr>
            <w:r w:rsidRPr="00AC327C">
              <w:rPr>
                <w:sz w:val="28"/>
                <w:szCs w:val="28"/>
                <w:lang w:val="vi-VN"/>
              </w:rPr>
              <w:t>6</w:t>
            </w:r>
          </w:p>
        </w:tc>
      </w:tr>
      <w:tr w:rsidR="007A04E1" w:rsidRPr="00AC327C" w14:paraId="0377FF6B" w14:textId="77777777" w:rsidTr="00D85544">
        <w:tc>
          <w:tcPr>
            <w:tcW w:w="1064" w:type="dxa"/>
          </w:tcPr>
          <w:p w14:paraId="7DC22C49" w14:textId="77777777" w:rsidR="007A04E1" w:rsidRPr="00AC327C" w:rsidRDefault="007A04E1" w:rsidP="00D85544">
            <w:pPr>
              <w:jc w:val="both"/>
              <w:rPr>
                <w:sz w:val="28"/>
                <w:szCs w:val="28"/>
                <w:lang w:val="vi-VN"/>
              </w:rPr>
            </w:pPr>
            <w:r w:rsidRPr="00AC327C">
              <w:rPr>
                <w:sz w:val="28"/>
                <w:szCs w:val="28"/>
                <w:lang w:val="vi-VN"/>
              </w:rPr>
              <w:t>Na</w:t>
            </w:r>
            <w:r w:rsidRPr="00AC327C">
              <w:rPr>
                <w:sz w:val="28"/>
                <w:szCs w:val="28"/>
                <w:vertAlign w:val="superscript"/>
                <w:lang w:val="vi-VN"/>
              </w:rPr>
              <w:t>+</w:t>
            </w:r>
          </w:p>
        </w:tc>
        <w:tc>
          <w:tcPr>
            <w:tcW w:w="1068" w:type="dxa"/>
          </w:tcPr>
          <w:p w14:paraId="1D29EDD9" w14:textId="77777777" w:rsidR="007A04E1" w:rsidRPr="00AC327C" w:rsidRDefault="007A04E1" w:rsidP="00D85544">
            <w:pPr>
              <w:jc w:val="center"/>
              <w:rPr>
                <w:sz w:val="28"/>
                <w:szCs w:val="28"/>
                <w:lang w:val="vi-VN"/>
              </w:rPr>
            </w:pPr>
            <w:r w:rsidRPr="00AC327C">
              <w:rPr>
                <w:sz w:val="28"/>
                <w:szCs w:val="28"/>
                <w:lang w:val="vi-VN"/>
              </w:rPr>
              <w:t>1</w:t>
            </w:r>
          </w:p>
        </w:tc>
        <w:tc>
          <w:tcPr>
            <w:tcW w:w="2096" w:type="dxa"/>
          </w:tcPr>
          <w:p w14:paraId="6C966516" w14:textId="77777777" w:rsidR="007A04E1" w:rsidRPr="00AC327C" w:rsidRDefault="007A04E1" w:rsidP="00D85544">
            <w:pPr>
              <w:jc w:val="center"/>
              <w:rPr>
                <w:sz w:val="28"/>
                <w:szCs w:val="28"/>
                <w:lang w:val="vi-VN"/>
              </w:rPr>
            </w:pPr>
            <w:r w:rsidRPr="00AC327C">
              <w:rPr>
                <w:sz w:val="28"/>
                <w:szCs w:val="28"/>
                <w:lang w:val="vi-VN"/>
              </w:rPr>
              <w:t>0,98</w:t>
            </w:r>
          </w:p>
        </w:tc>
        <w:tc>
          <w:tcPr>
            <w:tcW w:w="2379" w:type="dxa"/>
          </w:tcPr>
          <w:p w14:paraId="60B0F33A" w14:textId="77777777" w:rsidR="007A04E1" w:rsidRPr="00AC327C" w:rsidRDefault="007A04E1" w:rsidP="00D85544">
            <w:pPr>
              <w:jc w:val="center"/>
              <w:rPr>
                <w:sz w:val="28"/>
                <w:szCs w:val="28"/>
                <w:lang w:val="vi-VN"/>
              </w:rPr>
            </w:pPr>
            <w:r w:rsidRPr="00AC327C">
              <w:rPr>
                <w:sz w:val="28"/>
                <w:szCs w:val="28"/>
                <w:lang w:val="vi-VN"/>
              </w:rPr>
              <w:t>7,90</w:t>
            </w:r>
          </w:p>
        </w:tc>
        <w:tc>
          <w:tcPr>
            <w:tcW w:w="2016" w:type="dxa"/>
          </w:tcPr>
          <w:p w14:paraId="7F6FEA2F" w14:textId="77777777" w:rsidR="007A04E1" w:rsidRPr="00AC327C" w:rsidRDefault="007A04E1" w:rsidP="00D85544">
            <w:pPr>
              <w:jc w:val="center"/>
              <w:rPr>
                <w:sz w:val="28"/>
                <w:szCs w:val="28"/>
                <w:lang w:val="vi-VN"/>
              </w:rPr>
            </w:pPr>
            <w:r w:rsidRPr="00AC327C">
              <w:rPr>
                <w:sz w:val="28"/>
                <w:szCs w:val="28"/>
                <w:lang w:val="vi-VN"/>
              </w:rPr>
              <w:t>5</w:t>
            </w:r>
          </w:p>
        </w:tc>
      </w:tr>
      <w:tr w:rsidR="007A04E1" w:rsidRPr="00AC327C" w14:paraId="2606AD7F" w14:textId="77777777" w:rsidTr="00D85544">
        <w:tc>
          <w:tcPr>
            <w:tcW w:w="1064" w:type="dxa"/>
          </w:tcPr>
          <w:p w14:paraId="2D8E668B" w14:textId="77777777" w:rsidR="007A04E1" w:rsidRPr="00AC327C" w:rsidRDefault="007A04E1" w:rsidP="00D85544">
            <w:pPr>
              <w:jc w:val="both"/>
              <w:rPr>
                <w:sz w:val="28"/>
                <w:szCs w:val="28"/>
                <w:lang w:val="vi-VN"/>
              </w:rPr>
            </w:pPr>
            <w:r w:rsidRPr="00AC327C">
              <w:rPr>
                <w:sz w:val="28"/>
                <w:szCs w:val="28"/>
                <w:lang w:val="vi-VN"/>
              </w:rPr>
              <w:t>NH</w:t>
            </w:r>
            <w:r w:rsidRPr="00AC327C">
              <w:rPr>
                <w:sz w:val="28"/>
                <w:szCs w:val="28"/>
                <w:vertAlign w:val="subscript"/>
                <w:lang w:val="vi-VN"/>
              </w:rPr>
              <w:t>4</w:t>
            </w:r>
            <w:r w:rsidRPr="00AC327C">
              <w:rPr>
                <w:sz w:val="28"/>
                <w:szCs w:val="28"/>
                <w:vertAlign w:val="superscript"/>
                <w:lang w:val="vi-VN"/>
              </w:rPr>
              <w:t>+</w:t>
            </w:r>
          </w:p>
        </w:tc>
        <w:tc>
          <w:tcPr>
            <w:tcW w:w="1068" w:type="dxa"/>
          </w:tcPr>
          <w:p w14:paraId="4B009E97" w14:textId="77777777" w:rsidR="007A04E1" w:rsidRPr="00AC327C" w:rsidRDefault="007A04E1" w:rsidP="00D85544">
            <w:pPr>
              <w:jc w:val="center"/>
              <w:rPr>
                <w:sz w:val="28"/>
                <w:szCs w:val="28"/>
                <w:lang w:val="vi-VN"/>
              </w:rPr>
            </w:pPr>
            <w:r w:rsidRPr="00AC327C">
              <w:rPr>
                <w:sz w:val="28"/>
                <w:szCs w:val="28"/>
                <w:lang w:val="vi-VN"/>
              </w:rPr>
              <w:t>1</w:t>
            </w:r>
          </w:p>
        </w:tc>
        <w:tc>
          <w:tcPr>
            <w:tcW w:w="2096" w:type="dxa"/>
          </w:tcPr>
          <w:p w14:paraId="71D0D441" w14:textId="77777777" w:rsidR="007A04E1" w:rsidRPr="00AC327C" w:rsidRDefault="007A04E1" w:rsidP="00D85544">
            <w:pPr>
              <w:jc w:val="center"/>
              <w:rPr>
                <w:sz w:val="28"/>
                <w:szCs w:val="28"/>
                <w:lang w:val="vi-VN"/>
              </w:rPr>
            </w:pPr>
            <w:r w:rsidRPr="00AC327C">
              <w:rPr>
                <w:sz w:val="28"/>
                <w:szCs w:val="28"/>
                <w:lang w:val="vi-VN"/>
              </w:rPr>
              <w:t>1,43</w:t>
            </w:r>
          </w:p>
        </w:tc>
        <w:tc>
          <w:tcPr>
            <w:tcW w:w="2379" w:type="dxa"/>
          </w:tcPr>
          <w:p w14:paraId="736BB3CD" w14:textId="77777777" w:rsidR="007A04E1" w:rsidRPr="00AC327C" w:rsidRDefault="007A04E1" w:rsidP="00D85544">
            <w:pPr>
              <w:jc w:val="center"/>
              <w:rPr>
                <w:sz w:val="28"/>
                <w:szCs w:val="28"/>
                <w:lang w:val="vi-VN"/>
              </w:rPr>
            </w:pPr>
            <w:r w:rsidRPr="00AC327C">
              <w:rPr>
                <w:sz w:val="28"/>
                <w:szCs w:val="28"/>
                <w:lang w:val="vi-VN"/>
              </w:rPr>
              <w:t>5,37</w:t>
            </w:r>
          </w:p>
        </w:tc>
        <w:tc>
          <w:tcPr>
            <w:tcW w:w="2016" w:type="dxa"/>
          </w:tcPr>
          <w:p w14:paraId="05DDB8C9" w14:textId="77777777" w:rsidR="007A04E1" w:rsidRPr="00AC327C" w:rsidRDefault="007A04E1" w:rsidP="00D85544">
            <w:pPr>
              <w:jc w:val="center"/>
              <w:rPr>
                <w:sz w:val="28"/>
                <w:szCs w:val="28"/>
                <w:lang w:val="vi-VN"/>
              </w:rPr>
            </w:pPr>
            <w:r w:rsidRPr="00AC327C">
              <w:rPr>
                <w:sz w:val="28"/>
                <w:szCs w:val="28"/>
                <w:lang w:val="vi-VN"/>
              </w:rPr>
              <w:t>4</w:t>
            </w:r>
          </w:p>
        </w:tc>
      </w:tr>
      <w:tr w:rsidR="007A04E1" w:rsidRPr="00AC327C" w14:paraId="5039E4D3" w14:textId="77777777" w:rsidTr="00D85544">
        <w:tc>
          <w:tcPr>
            <w:tcW w:w="1064" w:type="dxa"/>
          </w:tcPr>
          <w:p w14:paraId="693A96A2" w14:textId="77777777" w:rsidR="007A04E1" w:rsidRPr="00AC327C" w:rsidRDefault="007A04E1" w:rsidP="00D85544">
            <w:pPr>
              <w:jc w:val="both"/>
              <w:rPr>
                <w:sz w:val="28"/>
                <w:szCs w:val="28"/>
                <w:lang w:val="vi-VN"/>
              </w:rPr>
            </w:pPr>
            <w:r w:rsidRPr="00AC327C">
              <w:rPr>
                <w:sz w:val="28"/>
                <w:szCs w:val="28"/>
                <w:lang w:val="vi-VN"/>
              </w:rPr>
              <w:t>Mg</w:t>
            </w:r>
            <w:r w:rsidRPr="00AC327C">
              <w:rPr>
                <w:sz w:val="28"/>
                <w:szCs w:val="28"/>
                <w:vertAlign w:val="superscript"/>
                <w:lang w:val="vi-VN"/>
              </w:rPr>
              <w:t>2+</w:t>
            </w:r>
          </w:p>
        </w:tc>
        <w:tc>
          <w:tcPr>
            <w:tcW w:w="1068" w:type="dxa"/>
          </w:tcPr>
          <w:p w14:paraId="07B1B938" w14:textId="77777777" w:rsidR="007A04E1" w:rsidRPr="00AC327C" w:rsidRDefault="007A04E1" w:rsidP="00D85544">
            <w:pPr>
              <w:jc w:val="center"/>
              <w:rPr>
                <w:sz w:val="28"/>
                <w:szCs w:val="28"/>
                <w:lang w:val="vi-VN"/>
              </w:rPr>
            </w:pPr>
            <w:r w:rsidRPr="00AC327C">
              <w:rPr>
                <w:sz w:val="28"/>
                <w:szCs w:val="28"/>
                <w:lang w:val="vi-VN"/>
              </w:rPr>
              <w:t>2</w:t>
            </w:r>
          </w:p>
        </w:tc>
        <w:tc>
          <w:tcPr>
            <w:tcW w:w="2096" w:type="dxa"/>
          </w:tcPr>
          <w:p w14:paraId="481B5031" w14:textId="77777777" w:rsidR="007A04E1" w:rsidRPr="00AC327C" w:rsidRDefault="007A04E1" w:rsidP="00D85544">
            <w:pPr>
              <w:jc w:val="center"/>
              <w:rPr>
                <w:sz w:val="28"/>
                <w:szCs w:val="28"/>
                <w:lang w:val="vi-VN"/>
              </w:rPr>
            </w:pPr>
            <w:r w:rsidRPr="00AC327C">
              <w:rPr>
                <w:sz w:val="28"/>
                <w:szCs w:val="28"/>
                <w:lang w:val="vi-VN"/>
              </w:rPr>
              <w:t>0,78</w:t>
            </w:r>
          </w:p>
        </w:tc>
        <w:tc>
          <w:tcPr>
            <w:tcW w:w="2379" w:type="dxa"/>
          </w:tcPr>
          <w:p w14:paraId="5AE04024" w14:textId="77777777" w:rsidR="007A04E1" w:rsidRPr="00AC327C" w:rsidRDefault="007A04E1" w:rsidP="00D85544">
            <w:pPr>
              <w:jc w:val="center"/>
              <w:rPr>
                <w:sz w:val="28"/>
                <w:szCs w:val="28"/>
                <w:lang w:val="vi-VN"/>
              </w:rPr>
            </w:pPr>
            <w:r w:rsidRPr="00AC327C">
              <w:rPr>
                <w:sz w:val="28"/>
                <w:szCs w:val="28"/>
                <w:lang w:val="vi-VN"/>
              </w:rPr>
              <w:t>13,30</w:t>
            </w:r>
          </w:p>
        </w:tc>
        <w:tc>
          <w:tcPr>
            <w:tcW w:w="2016" w:type="dxa"/>
          </w:tcPr>
          <w:p w14:paraId="680984D6" w14:textId="77777777" w:rsidR="007A04E1" w:rsidRPr="00AC327C" w:rsidRDefault="007A04E1" w:rsidP="00D85544">
            <w:pPr>
              <w:jc w:val="center"/>
              <w:rPr>
                <w:sz w:val="28"/>
                <w:szCs w:val="28"/>
                <w:lang w:val="vi-VN"/>
              </w:rPr>
            </w:pPr>
            <w:r w:rsidRPr="00AC327C">
              <w:rPr>
                <w:sz w:val="28"/>
                <w:szCs w:val="28"/>
                <w:lang w:val="vi-VN"/>
              </w:rPr>
              <w:t>3</w:t>
            </w:r>
          </w:p>
        </w:tc>
      </w:tr>
      <w:tr w:rsidR="007A04E1" w:rsidRPr="00AC327C" w14:paraId="6FC54C89" w14:textId="77777777" w:rsidTr="00D85544">
        <w:tc>
          <w:tcPr>
            <w:tcW w:w="1064" w:type="dxa"/>
          </w:tcPr>
          <w:p w14:paraId="580C5FBF" w14:textId="77777777" w:rsidR="007A04E1" w:rsidRPr="00AC327C" w:rsidRDefault="007A04E1" w:rsidP="00D85544">
            <w:pPr>
              <w:jc w:val="both"/>
              <w:rPr>
                <w:sz w:val="28"/>
                <w:szCs w:val="28"/>
                <w:lang w:val="vi-VN"/>
              </w:rPr>
            </w:pPr>
            <w:r w:rsidRPr="00AC327C">
              <w:rPr>
                <w:sz w:val="28"/>
                <w:szCs w:val="28"/>
                <w:lang w:val="vi-VN"/>
              </w:rPr>
              <w:t>Ca</w:t>
            </w:r>
            <w:r w:rsidRPr="00AC327C">
              <w:rPr>
                <w:sz w:val="28"/>
                <w:szCs w:val="28"/>
                <w:vertAlign w:val="superscript"/>
                <w:lang w:val="vi-VN"/>
              </w:rPr>
              <w:t>2+</w:t>
            </w:r>
          </w:p>
        </w:tc>
        <w:tc>
          <w:tcPr>
            <w:tcW w:w="1068" w:type="dxa"/>
          </w:tcPr>
          <w:p w14:paraId="6DC20E35" w14:textId="77777777" w:rsidR="007A04E1" w:rsidRPr="00AC327C" w:rsidRDefault="007A04E1" w:rsidP="00D85544">
            <w:pPr>
              <w:jc w:val="center"/>
              <w:rPr>
                <w:sz w:val="28"/>
                <w:szCs w:val="28"/>
                <w:lang w:val="vi-VN"/>
              </w:rPr>
            </w:pPr>
            <w:r w:rsidRPr="00AC327C">
              <w:rPr>
                <w:sz w:val="28"/>
                <w:szCs w:val="28"/>
                <w:lang w:val="vi-VN"/>
              </w:rPr>
              <w:t>2</w:t>
            </w:r>
          </w:p>
        </w:tc>
        <w:tc>
          <w:tcPr>
            <w:tcW w:w="2096" w:type="dxa"/>
          </w:tcPr>
          <w:p w14:paraId="48A7EFB4" w14:textId="77777777" w:rsidR="007A04E1" w:rsidRPr="00AC327C" w:rsidRDefault="007A04E1" w:rsidP="00D85544">
            <w:pPr>
              <w:jc w:val="center"/>
              <w:rPr>
                <w:sz w:val="28"/>
                <w:szCs w:val="28"/>
                <w:lang w:val="vi-VN"/>
              </w:rPr>
            </w:pPr>
            <w:r w:rsidRPr="00AC327C">
              <w:rPr>
                <w:sz w:val="28"/>
                <w:szCs w:val="28"/>
                <w:lang w:val="vi-VN"/>
              </w:rPr>
              <w:t>1,06</w:t>
            </w:r>
          </w:p>
        </w:tc>
        <w:tc>
          <w:tcPr>
            <w:tcW w:w="2379" w:type="dxa"/>
          </w:tcPr>
          <w:p w14:paraId="6DA3AE52" w14:textId="77777777" w:rsidR="007A04E1" w:rsidRPr="00AC327C" w:rsidRDefault="007A04E1" w:rsidP="00D85544">
            <w:pPr>
              <w:jc w:val="center"/>
              <w:rPr>
                <w:sz w:val="28"/>
                <w:szCs w:val="28"/>
                <w:lang w:val="vi-VN"/>
              </w:rPr>
            </w:pPr>
            <w:r w:rsidRPr="00AC327C">
              <w:rPr>
                <w:sz w:val="28"/>
                <w:szCs w:val="28"/>
                <w:lang w:val="vi-VN"/>
              </w:rPr>
              <w:t>10,00</w:t>
            </w:r>
          </w:p>
        </w:tc>
        <w:tc>
          <w:tcPr>
            <w:tcW w:w="2016" w:type="dxa"/>
          </w:tcPr>
          <w:p w14:paraId="3B636924" w14:textId="77777777" w:rsidR="007A04E1" w:rsidRPr="00AC327C" w:rsidRDefault="007A04E1" w:rsidP="00D85544">
            <w:pPr>
              <w:jc w:val="center"/>
              <w:rPr>
                <w:sz w:val="28"/>
                <w:szCs w:val="28"/>
                <w:lang w:val="vi-VN"/>
              </w:rPr>
            </w:pPr>
            <w:r w:rsidRPr="00AC327C">
              <w:rPr>
                <w:sz w:val="28"/>
                <w:szCs w:val="28"/>
                <w:lang w:val="vi-VN"/>
              </w:rPr>
              <w:t>2</w:t>
            </w:r>
          </w:p>
        </w:tc>
      </w:tr>
      <w:tr w:rsidR="007A04E1" w:rsidRPr="00AC327C" w14:paraId="33A388F2" w14:textId="77777777" w:rsidTr="00D85544">
        <w:tc>
          <w:tcPr>
            <w:tcW w:w="1064" w:type="dxa"/>
          </w:tcPr>
          <w:p w14:paraId="7F162864" w14:textId="77777777" w:rsidR="007A04E1" w:rsidRPr="00AC327C" w:rsidRDefault="007A04E1" w:rsidP="00D85544">
            <w:pPr>
              <w:jc w:val="both"/>
              <w:rPr>
                <w:sz w:val="28"/>
                <w:szCs w:val="28"/>
                <w:lang w:val="vi-VN"/>
              </w:rPr>
            </w:pPr>
            <w:r w:rsidRPr="00AC327C">
              <w:rPr>
                <w:sz w:val="28"/>
                <w:szCs w:val="28"/>
                <w:lang w:val="vi-VN"/>
              </w:rPr>
              <w:t>H</w:t>
            </w:r>
            <w:r w:rsidRPr="00AC327C">
              <w:rPr>
                <w:sz w:val="28"/>
                <w:szCs w:val="28"/>
                <w:vertAlign w:val="superscript"/>
                <w:lang w:val="vi-VN"/>
              </w:rPr>
              <w:t>+</w:t>
            </w:r>
          </w:p>
        </w:tc>
        <w:tc>
          <w:tcPr>
            <w:tcW w:w="1068" w:type="dxa"/>
          </w:tcPr>
          <w:p w14:paraId="101871A7" w14:textId="77777777" w:rsidR="007A04E1" w:rsidRPr="00AC327C" w:rsidRDefault="007A04E1" w:rsidP="00D85544">
            <w:pPr>
              <w:jc w:val="center"/>
              <w:rPr>
                <w:sz w:val="28"/>
                <w:szCs w:val="28"/>
                <w:lang w:val="vi-VN"/>
              </w:rPr>
            </w:pPr>
            <w:r w:rsidRPr="00AC327C">
              <w:rPr>
                <w:sz w:val="28"/>
                <w:szCs w:val="28"/>
                <w:lang w:val="vi-VN"/>
              </w:rPr>
              <w:t>1</w:t>
            </w:r>
          </w:p>
        </w:tc>
        <w:tc>
          <w:tcPr>
            <w:tcW w:w="2096" w:type="dxa"/>
          </w:tcPr>
          <w:p w14:paraId="14CCC7BF" w14:textId="77777777" w:rsidR="007A04E1" w:rsidRPr="00AC327C" w:rsidRDefault="007A04E1" w:rsidP="00D85544">
            <w:pPr>
              <w:jc w:val="center"/>
              <w:rPr>
                <w:sz w:val="28"/>
                <w:szCs w:val="28"/>
                <w:lang w:val="vi-VN"/>
              </w:rPr>
            </w:pPr>
            <w:r w:rsidRPr="00AC327C">
              <w:rPr>
                <w:sz w:val="28"/>
                <w:szCs w:val="28"/>
                <w:lang w:val="vi-VN"/>
              </w:rPr>
              <w:t>-</w:t>
            </w:r>
          </w:p>
        </w:tc>
        <w:tc>
          <w:tcPr>
            <w:tcW w:w="2379" w:type="dxa"/>
          </w:tcPr>
          <w:p w14:paraId="0F17A715" w14:textId="77777777" w:rsidR="007A04E1" w:rsidRPr="00AC327C" w:rsidRDefault="007A04E1" w:rsidP="00D85544">
            <w:pPr>
              <w:jc w:val="center"/>
              <w:rPr>
                <w:sz w:val="28"/>
                <w:szCs w:val="28"/>
                <w:lang w:val="vi-VN"/>
              </w:rPr>
            </w:pPr>
            <w:r w:rsidRPr="00AC327C">
              <w:rPr>
                <w:sz w:val="28"/>
                <w:szCs w:val="28"/>
                <w:lang w:val="vi-VN"/>
              </w:rPr>
              <w:t>-</w:t>
            </w:r>
          </w:p>
        </w:tc>
        <w:tc>
          <w:tcPr>
            <w:tcW w:w="2016" w:type="dxa"/>
          </w:tcPr>
          <w:p w14:paraId="1971890D" w14:textId="77777777" w:rsidR="007A04E1" w:rsidRPr="00AC327C" w:rsidRDefault="007A04E1" w:rsidP="00D85544">
            <w:pPr>
              <w:jc w:val="center"/>
              <w:rPr>
                <w:sz w:val="28"/>
                <w:szCs w:val="28"/>
                <w:lang w:val="vi-VN"/>
              </w:rPr>
            </w:pPr>
            <w:r w:rsidRPr="00AC327C">
              <w:rPr>
                <w:sz w:val="28"/>
                <w:szCs w:val="28"/>
                <w:lang w:val="vi-VN"/>
              </w:rPr>
              <w:t>1</w:t>
            </w:r>
          </w:p>
        </w:tc>
      </w:tr>
    </w:tbl>
    <w:p w14:paraId="23C981DC" w14:textId="77777777" w:rsidR="007A04E1" w:rsidRPr="00AC327C" w:rsidRDefault="007A04E1" w:rsidP="007A04E1">
      <w:pPr>
        <w:ind w:firstLine="720"/>
        <w:jc w:val="both"/>
        <w:rPr>
          <w:sz w:val="28"/>
          <w:szCs w:val="28"/>
          <w:lang w:val="vi-VN"/>
        </w:rPr>
      </w:pPr>
    </w:p>
    <w:p w14:paraId="04879584" w14:textId="77777777" w:rsidR="007A04E1" w:rsidRPr="00AC327C" w:rsidRDefault="007A04E1" w:rsidP="007A04E1">
      <w:pPr>
        <w:ind w:firstLine="720"/>
        <w:jc w:val="both"/>
        <w:rPr>
          <w:sz w:val="28"/>
          <w:szCs w:val="28"/>
          <w:lang w:val="vi-VN"/>
        </w:rPr>
      </w:pPr>
      <w:r w:rsidRPr="00AC327C">
        <w:rPr>
          <w:sz w:val="28"/>
          <w:szCs w:val="28"/>
          <w:lang w:val="vi-VN"/>
        </w:rPr>
        <w:lastRenderedPageBreak/>
        <w:t>Khả năng trao đổi phụ thuộc nồng độ ion trong dung dịch, nồng độ ion trong dung dịch đất càng cao thì phản ứng trao đổi càng mạnh, đất nhiều mùn, nhiều khoáng sét, thành phần cơ giới đất càng nặng CEC càng lớn.</w:t>
      </w:r>
    </w:p>
    <w:p w14:paraId="607F8C18" w14:textId="77777777" w:rsidR="007A04E1" w:rsidRPr="00AC327C" w:rsidRDefault="007A04E1" w:rsidP="007A04E1">
      <w:pPr>
        <w:jc w:val="right"/>
        <w:rPr>
          <w:b/>
          <w:lang w:val="vi-VN"/>
        </w:rPr>
      </w:pPr>
      <w:bookmarkStart w:id="1" w:name="_Toc92366080"/>
      <w:bookmarkStart w:id="2" w:name="_Toc92398211"/>
      <w:bookmarkStart w:id="3" w:name="_Toc95989947"/>
      <w:r w:rsidRPr="00AC327C">
        <w:rPr>
          <w:b/>
          <w:lang w:val="vi-VN"/>
        </w:rPr>
        <w:t>HÀ MẠNH THẮNG, NGUYỄN THANH H</w:t>
      </w:r>
      <w:bookmarkEnd w:id="1"/>
      <w:bookmarkEnd w:id="2"/>
      <w:bookmarkEnd w:id="3"/>
      <w:r w:rsidRPr="00AC327C">
        <w:rPr>
          <w:b/>
          <w:lang w:val="vi-VN"/>
        </w:rPr>
        <w:t>ÒA</w:t>
      </w:r>
    </w:p>
    <w:p w14:paraId="182E55D4" w14:textId="77777777" w:rsidR="007A04E1" w:rsidRPr="00AC327C" w:rsidRDefault="007A04E1" w:rsidP="007A04E1">
      <w:pPr>
        <w:rPr>
          <w:b/>
          <w:lang w:val="vi-VN"/>
        </w:rPr>
      </w:pPr>
      <w:r w:rsidRPr="00AC327C">
        <w:rPr>
          <w:b/>
          <w:lang w:val="vi-VN"/>
        </w:rPr>
        <w:t>Tài liệu tham khảo</w:t>
      </w:r>
    </w:p>
    <w:p w14:paraId="449F6914" w14:textId="77777777" w:rsidR="007A04E1" w:rsidRPr="00AC327C" w:rsidRDefault="007A04E1" w:rsidP="007A04E1">
      <w:pPr>
        <w:ind w:left="284" w:hanging="284"/>
        <w:jc w:val="both"/>
        <w:rPr>
          <w:lang w:val="vi-VN"/>
        </w:rPr>
      </w:pPr>
      <w:r w:rsidRPr="00AC327C">
        <w:rPr>
          <w:lang w:val="vi-VN"/>
        </w:rPr>
        <w:t xml:space="preserve">1. Hà Mạnh Thắng và tập thể tác giả, </w:t>
      </w:r>
      <w:r w:rsidRPr="00AC327C">
        <w:rPr>
          <w:i/>
          <w:lang w:val="vi-VN"/>
        </w:rPr>
        <w:t xml:space="preserve">Báo cáo kết quả quan trắc và phân tích môi trường đất miền Bắc, miền Nam, miền Trung và Tây Nguyên, </w:t>
      </w:r>
      <w:r w:rsidRPr="00AC327C">
        <w:rPr>
          <w:lang w:val="vi-VN"/>
        </w:rPr>
        <w:t>Viện Môi trường Nông nghiệp, Hà Nội, 2019.</w:t>
      </w:r>
    </w:p>
    <w:p w14:paraId="328EED8C" w14:textId="77777777" w:rsidR="007A04E1" w:rsidRPr="00AC327C" w:rsidRDefault="007A04E1" w:rsidP="007A04E1">
      <w:pPr>
        <w:ind w:left="284" w:hanging="284"/>
        <w:jc w:val="both"/>
      </w:pPr>
      <w:r w:rsidRPr="00AC327C">
        <w:rPr>
          <w:lang w:val="vi-VN"/>
        </w:rPr>
        <w:t>2. Trần Văn Chính (</w:t>
      </w:r>
      <w:r w:rsidRPr="00B21A3A">
        <w:rPr>
          <w:lang w:val="vi-VN"/>
        </w:rPr>
        <w:t>C</w:t>
      </w:r>
      <w:r w:rsidRPr="00AC327C">
        <w:rPr>
          <w:lang w:val="vi-VN"/>
        </w:rPr>
        <w:t xml:space="preserve">hủ biên), Giáo trình thổ nhưỡng học, Nxb. </w:t>
      </w:r>
      <w:r w:rsidRPr="00AC327C">
        <w:t>Nông nghiệp, Hà Nội, 2000.</w:t>
      </w:r>
    </w:p>
    <w:p w14:paraId="303BE010" w14:textId="77777777" w:rsidR="007A04E1" w:rsidRPr="00AC327C" w:rsidRDefault="007A04E1" w:rsidP="007A04E1">
      <w:pPr>
        <w:ind w:left="284" w:hanging="284"/>
        <w:jc w:val="both"/>
      </w:pPr>
      <w:r w:rsidRPr="00AC327C">
        <w:t>3. </w:t>
      </w:r>
      <w:r w:rsidRPr="00AC327C">
        <w:rPr>
          <w:shd w:val="clear" w:color="auto" w:fill="FFFFFF"/>
        </w:rPr>
        <w:t>Gedroits, K. K</w:t>
      </w:r>
      <w:r>
        <w:rPr>
          <w:shd w:val="clear" w:color="auto" w:fill="FFFFFF"/>
        </w:rPr>
        <w:t>.</w:t>
      </w:r>
      <w:r w:rsidRPr="00AC327C">
        <w:rPr>
          <w:shd w:val="clear" w:color="auto" w:fill="FFFFFF"/>
        </w:rPr>
        <w:t xml:space="preserve">, </w:t>
      </w:r>
      <w:r w:rsidRPr="00AC327C">
        <w:rPr>
          <w:i/>
          <w:shd w:val="clear" w:color="auto" w:fill="FFFFFF"/>
        </w:rPr>
        <w:t>The Soil's Absorbing Complex and the Exchange Cations in the Soil, as a Basis for Genetical Classification of Soils</w:t>
      </w:r>
      <w:r w:rsidRPr="00AC327C">
        <w:rPr>
          <w:shd w:val="clear" w:color="auto" w:fill="FFFFFF"/>
        </w:rPr>
        <w:t>,</w:t>
      </w:r>
      <w:r w:rsidRPr="00AC327C">
        <w:rPr>
          <w:rStyle w:val="apple-converted-space"/>
          <w:rFonts w:eastAsiaTheme="majorEastAsia"/>
          <w:shd w:val="clear" w:color="auto" w:fill="FFFFFF"/>
        </w:rPr>
        <w:t> </w:t>
      </w:r>
      <w:r w:rsidRPr="00AC327C">
        <w:rPr>
          <w:iCs/>
        </w:rPr>
        <w:t>Izd. Nosovskoi Selskokhozyaistvennoi Opytnoi Stantsii,</w:t>
      </w:r>
      <w:r>
        <w:rPr>
          <w:iCs/>
        </w:rPr>
        <w:t xml:space="preserve"> </w:t>
      </w:r>
      <w:r w:rsidRPr="00AC327C">
        <w:rPr>
          <w:shd w:val="clear" w:color="auto" w:fill="FFFFFF"/>
        </w:rPr>
        <w:t>1927.</w:t>
      </w:r>
    </w:p>
    <w:p w14:paraId="5729E2C8"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E1"/>
    <w:rsid w:val="00000CD6"/>
    <w:rsid w:val="000A6B36"/>
    <w:rsid w:val="001A139D"/>
    <w:rsid w:val="006A583F"/>
    <w:rsid w:val="007A04E1"/>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AB7C"/>
  <w15:chartTrackingRefBased/>
  <w15:docId w15:val="{692B1A13-66B0-403B-B5AA-2697F21B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E1"/>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7A04E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7A04E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7A04E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7A04E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7A04E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7A04E1"/>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7A04E1"/>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7A04E1"/>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7A04E1"/>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7A0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4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4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4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4E1"/>
    <w:rPr>
      <w:rFonts w:eastAsiaTheme="majorEastAsia" w:cstheme="majorBidi"/>
      <w:color w:val="272727" w:themeColor="text1" w:themeTint="D8"/>
    </w:rPr>
  </w:style>
  <w:style w:type="paragraph" w:styleId="Title">
    <w:name w:val="Title"/>
    <w:basedOn w:val="Normal"/>
    <w:next w:val="Normal"/>
    <w:link w:val="TitleChar"/>
    <w:uiPriority w:val="10"/>
    <w:qFormat/>
    <w:rsid w:val="007A04E1"/>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7A0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4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7A0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4E1"/>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7A04E1"/>
    <w:rPr>
      <w:i/>
      <w:iCs/>
      <w:color w:val="404040" w:themeColor="text1" w:themeTint="BF"/>
    </w:rPr>
  </w:style>
  <w:style w:type="paragraph" w:styleId="ListParagraph">
    <w:name w:val="List Paragraph"/>
    <w:basedOn w:val="Normal"/>
    <w:uiPriority w:val="34"/>
    <w:qFormat/>
    <w:rsid w:val="007A04E1"/>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7A04E1"/>
    <w:rPr>
      <w:i/>
      <w:iCs/>
      <w:color w:val="2F5496" w:themeColor="accent1" w:themeShade="BF"/>
    </w:rPr>
  </w:style>
  <w:style w:type="paragraph" w:styleId="IntenseQuote">
    <w:name w:val="Intense Quote"/>
    <w:basedOn w:val="Normal"/>
    <w:next w:val="Normal"/>
    <w:link w:val="IntenseQuoteChar"/>
    <w:uiPriority w:val="30"/>
    <w:qFormat/>
    <w:rsid w:val="007A04E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7A04E1"/>
    <w:rPr>
      <w:i/>
      <w:iCs/>
      <w:color w:val="2F5496" w:themeColor="accent1" w:themeShade="BF"/>
    </w:rPr>
  </w:style>
  <w:style w:type="character" w:styleId="IntenseReference">
    <w:name w:val="Intense Reference"/>
    <w:basedOn w:val="DefaultParagraphFont"/>
    <w:uiPriority w:val="32"/>
    <w:qFormat/>
    <w:rsid w:val="007A04E1"/>
    <w:rPr>
      <w:b/>
      <w:bCs/>
      <w:smallCaps/>
      <w:color w:val="2F5496" w:themeColor="accent1" w:themeShade="BF"/>
      <w:spacing w:val="5"/>
    </w:rPr>
  </w:style>
  <w:style w:type="character" w:customStyle="1" w:styleId="apple-converted-space">
    <w:name w:val="apple-converted-space"/>
    <w:basedOn w:val="DefaultParagraphFont"/>
    <w:qFormat/>
    <w:rsid w:val="007A0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uocsong.online/library/khoang-va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ocsong.online/library/phan-cuc-4.html" TargetMode="External"/><Relationship Id="rId5" Type="http://schemas.openxmlformats.org/officeDocument/2006/relationships/hyperlink" Target="https://cuocsong.online/library/ban-kinh.html" TargetMode="External"/><Relationship Id="rId4" Type="http://schemas.openxmlformats.org/officeDocument/2006/relationships/hyperlink" Target="https://cuocsong.online/library/nong-do-3.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2025-11-26T14:37:00Z</dcterms:created>
  <dcterms:modified xsi:type="dcterms:W3CDTF">2025-11-26T14:37:00Z</dcterms:modified>
</cp:coreProperties>
</file>